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19" w:type="dxa"/>
        <w:tblInd w:w="178" w:type="dxa"/>
        <w:tblCellMar>
          <w:top w:w="127" w:type="dxa"/>
          <w:left w:w="235" w:type="dxa"/>
          <w:right w:w="130" w:type="dxa"/>
        </w:tblCellMar>
        <w:tblLook w:val="04A0" w:firstRow="1" w:lastRow="0" w:firstColumn="1" w:lastColumn="0" w:noHBand="0" w:noVBand="1"/>
      </w:tblPr>
      <w:tblGrid>
        <w:gridCol w:w="8419"/>
      </w:tblGrid>
      <w:tr w:rsidR="006F281C" w:rsidTr="00813F4F">
        <w:trPr>
          <w:trHeight w:val="5678"/>
        </w:trPr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81C" w:rsidRPr="007348AA" w:rsidRDefault="00736493">
            <w:pPr>
              <w:spacing w:line="259" w:lineRule="auto"/>
              <w:ind w:left="0" w:right="130" w:firstLine="0"/>
              <w:jc w:val="both"/>
              <w:rPr>
                <w:sz w:val="28"/>
                <w:szCs w:val="28"/>
              </w:rPr>
            </w:pPr>
            <w:r w:rsidRPr="007348AA">
              <w:rPr>
                <w:rFonts w:hint="eastAsia"/>
                <w:sz w:val="28"/>
                <w:szCs w:val="28"/>
              </w:rPr>
              <w:t>失語症に関する</w:t>
            </w:r>
            <w:r w:rsidR="007348AA" w:rsidRPr="007348AA">
              <w:rPr>
                <w:sz w:val="28"/>
                <w:szCs w:val="28"/>
              </w:rPr>
              <w:t>意見書</w:t>
            </w:r>
          </w:p>
          <w:tbl>
            <w:tblPr>
              <w:tblStyle w:val="TableGrid"/>
              <w:tblW w:w="7949" w:type="dxa"/>
              <w:tblInd w:w="1" w:type="dxa"/>
              <w:tblCellMar>
                <w:top w:w="35" w:type="dxa"/>
                <w:left w:w="24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3118"/>
              <w:gridCol w:w="1002"/>
            </w:tblGrid>
            <w:tr w:rsidR="006F281C" w:rsidRPr="007348AA" w:rsidTr="00B5620D">
              <w:trPr>
                <w:trHeight w:val="632"/>
              </w:trPr>
              <w:tc>
                <w:tcPr>
                  <w:tcW w:w="3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6F281C" w:rsidRPr="007348AA" w:rsidRDefault="00B5620D" w:rsidP="00B5620D">
                  <w:pPr>
                    <w:spacing w:after="160" w:line="259" w:lineRule="auto"/>
                    <w:ind w:left="0" w:firstLineChars="47" w:firstLine="11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氏名：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F281C" w:rsidRPr="007348AA" w:rsidRDefault="007348AA" w:rsidP="00B5620D">
                  <w:pPr>
                    <w:tabs>
                      <w:tab w:val="center" w:pos="1404"/>
                      <w:tab w:val="center" w:pos="2638"/>
                    </w:tabs>
                    <w:spacing w:line="259" w:lineRule="auto"/>
                    <w:ind w:left="0" w:firstLine="0"/>
                    <w:jc w:val="right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ab/>
                    <w:t>年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B5620D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7348AA">
                    <w:rPr>
                      <w:sz w:val="24"/>
                      <w:szCs w:val="24"/>
                    </w:rPr>
                    <w:t>月</w:t>
                  </w:r>
                  <w:r w:rsidR="00B5620D">
                    <w:rPr>
                      <w:rFonts w:hint="eastAsia"/>
                      <w:sz w:val="24"/>
                      <w:szCs w:val="24"/>
                    </w:rPr>
                    <w:t xml:space="preserve">　  </w:t>
                  </w:r>
                  <w:r w:rsidRPr="007348AA">
                    <w:rPr>
                      <w:sz w:val="24"/>
                      <w:szCs w:val="24"/>
                    </w:rPr>
                    <w:t>日生</w:t>
                  </w:r>
                </w:p>
              </w:tc>
              <w:tc>
                <w:tcPr>
                  <w:tcW w:w="1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F281C" w:rsidRPr="007348AA" w:rsidRDefault="007348AA" w:rsidP="00BD491F">
                  <w:pPr>
                    <w:spacing w:line="259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男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Pr="007348AA">
                    <w:rPr>
                      <w:sz w:val="24"/>
                      <w:szCs w:val="24"/>
                    </w:rPr>
                    <w:t>女</w:t>
                  </w:r>
                </w:p>
              </w:tc>
            </w:tr>
            <w:tr w:rsidR="006F281C" w:rsidRPr="007348AA" w:rsidTr="007348AA">
              <w:trPr>
                <w:trHeight w:val="527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F281C" w:rsidRPr="007348AA" w:rsidRDefault="007348AA" w:rsidP="007348AA">
                  <w:pPr>
                    <w:spacing w:line="259" w:lineRule="auto"/>
                    <w:ind w:left="109" w:firstLine="0"/>
                    <w:jc w:val="both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住所</w:t>
                  </w:r>
                  <w:r w:rsidR="00B5620D"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</w:tc>
            </w:tr>
            <w:tr w:rsidR="006F281C" w:rsidRPr="007348AA" w:rsidTr="007348AA">
              <w:trPr>
                <w:trHeight w:val="1098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F281C" w:rsidRPr="007348AA" w:rsidRDefault="007348AA" w:rsidP="007348AA">
                  <w:pPr>
                    <w:spacing w:line="360" w:lineRule="auto"/>
                    <w:ind w:left="104" w:firstLine="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 xml:space="preserve">① 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>失語症の程度：　重度　・　中等度　・　軽度</w:t>
                  </w:r>
                </w:p>
                <w:p w:rsidR="00BD491F" w:rsidRPr="007348AA" w:rsidRDefault="00BD491F" w:rsidP="007348AA">
                  <w:pPr>
                    <w:spacing w:line="360" w:lineRule="auto"/>
                    <w:ind w:left="104" w:firstLineChars="70" w:firstLine="168"/>
                    <w:rPr>
                      <w:sz w:val="24"/>
                      <w:szCs w:val="24"/>
                    </w:rPr>
                  </w:pPr>
                  <w:r w:rsidRPr="007348AA">
                    <w:rPr>
                      <w:rFonts w:hint="eastAsia"/>
                      <w:sz w:val="24"/>
                      <w:szCs w:val="24"/>
                    </w:rPr>
                    <w:t xml:space="preserve">　発症後　　年　　</w:t>
                  </w:r>
                  <w:proofErr w:type="gramStart"/>
                  <w:r w:rsidRPr="007348AA">
                    <w:rPr>
                      <w:rFonts w:hint="eastAsia"/>
                      <w:sz w:val="24"/>
                      <w:szCs w:val="24"/>
                    </w:rPr>
                    <w:t>ヶ</w:t>
                  </w:r>
                  <w:proofErr w:type="gramEnd"/>
                  <w:r w:rsidRPr="007348AA">
                    <w:rPr>
                      <w:rFonts w:hint="eastAsia"/>
                      <w:sz w:val="24"/>
                      <w:szCs w:val="24"/>
                    </w:rPr>
                    <w:t>月</w:t>
                  </w:r>
                </w:p>
              </w:tc>
            </w:tr>
            <w:tr w:rsidR="006F281C" w:rsidRPr="007348AA" w:rsidTr="007348AA">
              <w:trPr>
                <w:trHeight w:val="803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F281C" w:rsidRPr="007348AA" w:rsidRDefault="007348AA">
                  <w:pPr>
                    <w:spacing w:line="259" w:lineRule="auto"/>
                    <w:ind w:left="565" w:right="610" w:hanging="461"/>
                    <w:jc w:val="both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② 原因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>疾患</w:t>
                  </w:r>
                  <w:r w:rsidR="00B5620D">
                    <w:rPr>
                      <w:rFonts w:hint="eastAsia"/>
                      <w:sz w:val="24"/>
                      <w:szCs w:val="24"/>
                    </w:rPr>
                    <w:t>及び合併症</w:t>
                  </w:r>
                </w:p>
              </w:tc>
            </w:tr>
            <w:tr w:rsidR="006F281C" w:rsidRPr="007348AA" w:rsidTr="006B2692">
              <w:trPr>
                <w:trHeight w:val="2024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D491F" w:rsidRDefault="00BD491F" w:rsidP="00813F4F">
                  <w:pPr>
                    <w:pStyle w:val="a3"/>
                    <w:numPr>
                      <w:ilvl w:val="0"/>
                      <w:numId w:val="2"/>
                    </w:numPr>
                    <w:spacing w:after="120" w:line="264" w:lineRule="auto"/>
                    <w:ind w:leftChars="0" w:left="476" w:hanging="357"/>
                    <w:rPr>
                      <w:sz w:val="24"/>
                      <w:szCs w:val="24"/>
                    </w:rPr>
                  </w:pPr>
                  <w:r w:rsidRPr="007348AA">
                    <w:rPr>
                      <w:rFonts w:hint="eastAsia"/>
                      <w:sz w:val="24"/>
                      <w:szCs w:val="24"/>
                    </w:rPr>
                    <w:t xml:space="preserve"> 意思疎通の程度</w:t>
                  </w:r>
                </w:p>
                <w:p w:rsidR="00813F4F" w:rsidRDefault="00813F4F" w:rsidP="00813F4F">
                  <w:pPr>
                    <w:spacing w:line="360" w:lineRule="exact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理解面</w:t>
                  </w:r>
                </w:p>
                <w:p w:rsidR="00813F4F" w:rsidRPr="00813F4F" w:rsidRDefault="00813F4F" w:rsidP="00813F4F">
                  <w:pPr>
                    <w:pStyle w:val="a3"/>
                    <w:numPr>
                      <w:ilvl w:val="0"/>
                      <w:numId w:val="3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 w:rsidRPr="00813F4F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日常会話を音声のみで概ね理解できる</w:t>
                  </w:r>
                </w:p>
                <w:p w:rsidR="00813F4F" w:rsidRPr="00813F4F" w:rsidRDefault="00813F4F" w:rsidP="00813F4F">
                  <w:pPr>
                    <w:pStyle w:val="a3"/>
                    <w:numPr>
                      <w:ilvl w:val="0"/>
                      <w:numId w:val="3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 w:rsidRPr="00813F4F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日常会話を音声と文字を併用することで概ね理解できる</w:t>
                  </w:r>
                </w:p>
                <w:p w:rsidR="00813F4F" w:rsidRPr="00813F4F" w:rsidRDefault="00813F4F" w:rsidP="00813F4F">
                  <w:pPr>
                    <w:pStyle w:val="a3"/>
                    <w:numPr>
                      <w:ilvl w:val="0"/>
                      <w:numId w:val="3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 w:rsidRPr="00813F4F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日常会話を音声と文字を併用することで半分程度理解できる</w:t>
                  </w:r>
                </w:p>
                <w:p w:rsidR="00813F4F" w:rsidRPr="00813F4F" w:rsidRDefault="00813F4F" w:rsidP="00813F4F">
                  <w:pPr>
                    <w:pStyle w:val="a3"/>
                    <w:numPr>
                      <w:ilvl w:val="0"/>
                      <w:numId w:val="3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 w:rsidRPr="00813F4F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日常会話において音声と文字を併用しても理解が困難</w:t>
                  </w:r>
                </w:p>
                <w:p w:rsidR="00813F4F" w:rsidRPr="00813F4F" w:rsidRDefault="00813F4F" w:rsidP="00813F4F">
                  <w:pPr>
                    <w:spacing w:line="360" w:lineRule="exact"/>
                    <w:ind w:left="0" w:firstLineChars="50" w:firstLine="1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表出面</w:t>
                  </w:r>
                </w:p>
                <w:p w:rsidR="00442EB4" w:rsidRDefault="00442EB4" w:rsidP="00813F4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 w:rsidRPr="006B2692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日常会話であれば概ね自分の言いたいことが伝えられる</w:t>
                  </w:r>
                </w:p>
                <w:p w:rsidR="00813F4F" w:rsidRPr="006B2692" w:rsidRDefault="00813F4F" w:rsidP="00813F4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日常会話であれば半分程度は自分の言いたいことが伝えられる</w:t>
                  </w:r>
                </w:p>
                <w:p w:rsidR="00442EB4" w:rsidRPr="006B2692" w:rsidRDefault="00442EB4" w:rsidP="00813F4F">
                  <w:pPr>
                    <w:pStyle w:val="a3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asciiTheme="minorHAnsi" w:eastAsiaTheme="minorHAnsi" w:hAnsiTheme="minorHAnsi"/>
                      <w:sz w:val="21"/>
                      <w:szCs w:val="21"/>
                    </w:rPr>
                  </w:pPr>
                  <w:r w:rsidRPr="006B2692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日常会話において一部自力で伝えられるが、聞き手の誘導や推測が必要</w:t>
                  </w:r>
                </w:p>
                <w:p w:rsidR="006F281C" w:rsidRPr="00442EB4" w:rsidRDefault="00442EB4" w:rsidP="00813F4F">
                  <w:pPr>
                    <w:pStyle w:val="a3"/>
                    <w:numPr>
                      <w:ilvl w:val="0"/>
                      <w:numId w:val="1"/>
                    </w:numPr>
                    <w:spacing w:after="240" w:line="360" w:lineRule="exact"/>
                    <w:ind w:leftChars="0" w:left="641"/>
                    <w:rPr>
                      <w:sz w:val="24"/>
                      <w:szCs w:val="24"/>
                    </w:rPr>
                  </w:pPr>
                  <w:r w:rsidRPr="006B2692">
                    <w:rPr>
                      <w:rFonts w:asciiTheme="minorHAnsi" w:eastAsiaTheme="minorHAnsi" w:hAnsiTheme="minorHAnsi" w:hint="eastAsia"/>
                      <w:sz w:val="21"/>
                      <w:szCs w:val="21"/>
                    </w:rPr>
                    <w:t>自分から話したり書いたりすることが困難</w:t>
                  </w:r>
                </w:p>
              </w:tc>
            </w:tr>
            <w:tr w:rsidR="006F281C" w:rsidRPr="007348AA" w:rsidTr="00813F4F">
              <w:trPr>
                <w:trHeight w:val="1168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F281C" w:rsidRPr="007348AA" w:rsidRDefault="00BD491F" w:rsidP="00801A6B">
                  <w:pPr>
                    <w:spacing w:after="804" w:line="259" w:lineRule="auto"/>
                    <w:ind w:left="100" w:firstLine="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④ 参考となる経過・現症(画像診断及び検査所見</w:t>
                  </w:r>
                  <w:r w:rsidR="00B5620D">
                    <w:rPr>
                      <w:rFonts w:hint="eastAsia"/>
                      <w:sz w:val="24"/>
                      <w:szCs w:val="24"/>
                    </w:rPr>
                    <w:t>など</w:t>
                  </w:r>
                  <w:r w:rsidRPr="007348AA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6F281C" w:rsidRPr="007348AA">
              <w:trPr>
                <w:trHeight w:val="1652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5620D" w:rsidRPr="007348AA" w:rsidRDefault="007348AA" w:rsidP="00B5620D">
                  <w:pPr>
                    <w:spacing w:after="600" w:line="259" w:lineRule="auto"/>
                    <w:ind w:left="102" w:firstLine="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⑤</w:t>
                  </w:r>
                  <w:r w:rsidRPr="007348AA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7348AA">
                    <w:rPr>
                      <w:sz w:val="24"/>
                      <w:szCs w:val="24"/>
                    </w:rPr>
                    <w:t>その他参考となる</w:t>
                  </w:r>
                  <w:r w:rsidR="00B5620D">
                    <w:rPr>
                      <w:rFonts w:hint="eastAsia"/>
                      <w:sz w:val="24"/>
                      <w:szCs w:val="24"/>
                    </w:rPr>
                    <w:t>言語症状</w:t>
                  </w:r>
                </w:p>
              </w:tc>
            </w:tr>
            <w:tr w:rsidR="006F281C" w:rsidRPr="007348AA">
              <w:trPr>
                <w:trHeight w:val="1559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F281C" w:rsidRPr="007348AA" w:rsidRDefault="007348AA" w:rsidP="00801A6B">
                  <w:pPr>
                    <w:spacing w:line="360" w:lineRule="exact"/>
                    <w:ind w:left="200" w:firstLine="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上記のとおり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>判定</w:t>
                  </w:r>
                  <w:r w:rsidRPr="007348AA">
                    <w:rPr>
                      <w:sz w:val="24"/>
                      <w:szCs w:val="24"/>
                    </w:rPr>
                    <w:t>する。</w:t>
                  </w:r>
                </w:p>
                <w:p w:rsidR="006F281C" w:rsidRPr="007348AA" w:rsidRDefault="007348AA" w:rsidP="00103FDB">
                  <w:pPr>
                    <w:tabs>
                      <w:tab w:val="center" w:pos="1643"/>
                      <w:tab w:val="center" w:pos="2831"/>
                    </w:tabs>
                    <w:spacing w:after="25" w:line="340" w:lineRule="exact"/>
                    <w:ind w:left="0" w:firstLine="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ab/>
                    <w:t>年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7348AA">
                    <w:rPr>
                      <w:sz w:val="24"/>
                      <w:szCs w:val="24"/>
                    </w:rPr>
                    <w:t>月</w:t>
                  </w:r>
                  <w:r w:rsidRPr="007348AA">
                    <w:rPr>
                      <w:sz w:val="24"/>
                      <w:szCs w:val="24"/>
                    </w:rPr>
                    <w:tab/>
                    <w:t>日</w:t>
                  </w:r>
                </w:p>
                <w:p w:rsidR="00BD491F" w:rsidRPr="007348AA" w:rsidRDefault="00BD491F" w:rsidP="00103FDB">
                  <w:pPr>
                    <w:spacing w:after="205" w:line="340" w:lineRule="exact"/>
                    <w:ind w:left="320" w:right="1886" w:firstLineChars="100" w:firstLine="240"/>
                    <w:rPr>
                      <w:sz w:val="24"/>
                      <w:szCs w:val="24"/>
                    </w:rPr>
                  </w:pPr>
                  <w:r w:rsidRPr="007348AA">
                    <w:rPr>
                      <w:rFonts w:hint="eastAsia"/>
                      <w:sz w:val="24"/>
                      <w:szCs w:val="24"/>
                    </w:rPr>
                    <w:t>所属先：</w:t>
                  </w:r>
                  <w:r w:rsidR="007348AA" w:rsidRPr="007348AA">
                    <w:rPr>
                      <w:sz w:val="24"/>
                      <w:szCs w:val="24"/>
                    </w:rPr>
                    <w:tab/>
                  </w:r>
                </w:p>
                <w:p w:rsidR="00BD491F" w:rsidRPr="007348AA" w:rsidRDefault="007348AA" w:rsidP="00103FDB">
                  <w:pPr>
                    <w:spacing w:after="205" w:line="340" w:lineRule="exact"/>
                    <w:ind w:left="320" w:right="1886" w:firstLineChars="100" w:firstLine="24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>電話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  <w:p w:rsidR="006F281C" w:rsidRPr="007348AA" w:rsidRDefault="00BD491F" w:rsidP="00103FDB">
                  <w:pPr>
                    <w:spacing w:after="205" w:line="340" w:lineRule="exact"/>
                    <w:ind w:left="320" w:right="1886" w:firstLineChars="100" w:firstLine="240"/>
                    <w:rPr>
                      <w:sz w:val="24"/>
                      <w:szCs w:val="24"/>
                    </w:rPr>
                  </w:pPr>
                  <w:r w:rsidRPr="007348AA">
                    <w:rPr>
                      <w:rFonts w:hint="eastAsia"/>
                      <w:sz w:val="24"/>
                      <w:szCs w:val="24"/>
                    </w:rPr>
                    <w:t>所在地：</w:t>
                  </w:r>
                </w:p>
                <w:p w:rsidR="006F281C" w:rsidRDefault="007348AA" w:rsidP="00103FDB">
                  <w:pPr>
                    <w:tabs>
                      <w:tab w:val="center" w:pos="1357"/>
                      <w:tab w:val="center" w:pos="4936"/>
                    </w:tabs>
                    <w:spacing w:line="340" w:lineRule="exact"/>
                    <w:ind w:left="0" w:firstLine="0"/>
                    <w:rPr>
                      <w:sz w:val="24"/>
                      <w:szCs w:val="24"/>
                    </w:rPr>
                  </w:pPr>
                  <w:r w:rsidRPr="007348AA">
                    <w:rPr>
                      <w:sz w:val="24"/>
                      <w:szCs w:val="24"/>
                    </w:rPr>
                    <w:tab/>
                  </w:r>
                  <w:r w:rsidR="00103FDB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BD491F" w:rsidRPr="007348AA">
                    <w:rPr>
                      <w:rFonts w:hint="eastAsia"/>
                      <w:sz w:val="24"/>
                      <w:szCs w:val="24"/>
                    </w:rPr>
                    <w:t>言語聴覚士</w:t>
                  </w:r>
                  <w:r w:rsidRPr="007348AA">
                    <w:rPr>
                      <w:sz w:val="24"/>
                      <w:szCs w:val="24"/>
                    </w:rPr>
                    <w:t>氏名</w:t>
                  </w:r>
                  <w:r w:rsidR="00103FDB">
                    <w:rPr>
                      <w:rFonts w:hint="eastAsia"/>
                      <w:sz w:val="24"/>
                      <w:szCs w:val="24"/>
                    </w:rPr>
                    <w:t>：</w:t>
                  </w:r>
                </w:p>
                <w:p w:rsidR="006B2692" w:rsidRDefault="00801A6B" w:rsidP="00801A6B">
                  <w:pPr>
                    <w:tabs>
                      <w:tab w:val="center" w:pos="1357"/>
                      <w:tab w:val="center" w:pos="4936"/>
                    </w:tabs>
                    <w:spacing w:line="360" w:lineRule="exact"/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lastRenderedPageBreak/>
                    <w:t>失語症重症度の目安</w:t>
                  </w:r>
                  <w:bookmarkStart w:id="0" w:name="_GoBack"/>
                  <w:bookmarkEnd w:id="0"/>
                </w:p>
                <w:tbl>
                  <w:tblPr>
                    <w:tblpPr w:leftFromText="142" w:rightFromText="142" w:vertAnchor="text" w:horzAnchor="margin" w:tblpY="150"/>
                    <w:tblOverlap w:val="never"/>
                    <w:tblW w:w="7862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  <w:gridCol w:w="2884"/>
                    <w:gridCol w:w="3898"/>
                  </w:tblGrid>
                  <w:tr w:rsidR="00103FDB" w:rsidRPr="00813F4F" w:rsidTr="00103FDB">
                    <w:trPr>
                      <w:trHeight w:val="1725"/>
                    </w:trPr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>重度</w:t>
                        </w:r>
                      </w:p>
                    </w:tc>
                    <w:tc>
                      <w:tcPr>
                        <w:tcW w:w="28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家庭内での日常生活活動が著しく障害される </w:t>
                        </w:r>
                      </w:p>
                    </w:tc>
                    <w:tc>
                      <w:tcPr>
                        <w:tcW w:w="38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家庭において、家族又は肉親との会話の用をなさない（日常会話は誰が聞いても理解できない）。 </w:t>
                        </w:r>
                      </w:p>
                    </w:tc>
                  </w:tr>
                  <w:tr w:rsidR="00103FDB" w:rsidRPr="00813F4F" w:rsidTr="00103FDB">
                    <w:trPr>
                      <w:trHeight w:val="172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>中等度</w:t>
                        </w:r>
                      </w:p>
                    </w:tc>
                    <w:tc>
                      <w:tcPr>
                        <w:tcW w:w="28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家庭周辺での日常生活活動が著しく障害される </w:t>
                        </w:r>
                      </w:p>
                    </w:tc>
                    <w:tc>
                      <w:tcPr>
                        <w:tcW w:w="38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家族又は肉親との会話は可能であるが、家庭周辺において他人には殆ど用をなさない。 </w:t>
                        </w:r>
                      </w:p>
                    </w:tc>
                  </w:tr>
                  <w:tr w:rsidR="00103FDB" w:rsidRPr="00813F4F" w:rsidTr="00103FDB">
                    <w:trPr>
                      <w:trHeight w:val="172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>軽度</w:t>
                        </w:r>
                      </w:p>
                    </w:tc>
                    <w:tc>
                      <w:tcPr>
                        <w:tcW w:w="28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社会での日常生活が著しく障害される </w:t>
                        </w:r>
                      </w:p>
                    </w:tc>
                    <w:tc>
                      <w:tcPr>
                        <w:tcW w:w="38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FDB" w:rsidRPr="00813F4F" w:rsidRDefault="00103FDB" w:rsidP="00103FDB">
                        <w:pPr>
                          <w:spacing w:line="240" w:lineRule="auto"/>
                          <w:ind w:left="0" w:firstLine="0"/>
                          <w:rPr>
                            <w:rFonts w:asciiTheme="minorHAnsi" w:eastAsiaTheme="minorHAnsi" w:hAnsiTheme="minorHAnsi" w:cs="ＭＳ Ｐゴシック"/>
                            <w:kern w:val="0"/>
                            <w:sz w:val="20"/>
                            <w:szCs w:val="20"/>
                          </w:rPr>
                        </w:pPr>
                        <w:r w:rsidRPr="00813F4F">
                          <w:rPr>
                            <w:rFonts w:asciiTheme="minorHAnsi" w:eastAsiaTheme="minorHAnsi" w:hAnsiTheme="minorHAnsi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日常の会話が可能であるが不明瞭で不便がある。 </w:t>
                        </w:r>
                      </w:p>
                    </w:tc>
                  </w:tr>
                </w:tbl>
                <w:p w:rsidR="00801A6B" w:rsidRPr="00801A6B" w:rsidRDefault="00801A6B" w:rsidP="00801A6B">
                  <w:pPr>
                    <w:tabs>
                      <w:tab w:val="center" w:pos="1357"/>
                      <w:tab w:val="center" w:pos="4936"/>
                    </w:tabs>
                    <w:spacing w:line="360" w:lineRule="exact"/>
                    <w:ind w:left="0"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6F281C" w:rsidRPr="007348AA" w:rsidTr="00103FDB">
              <w:trPr>
                <w:trHeight w:val="594"/>
              </w:trPr>
              <w:tc>
                <w:tcPr>
                  <w:tcW w:w="79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2692" w:rsidRPr="007348AA" w:rsidRDefault="006B2692" w:rsidP="00103FDB">
                  <w:pPr>
                    <w:spacing w:after="360" w:line="264" w:lineRule="auto"/>
                    <w:ind w:left="663" w:hanging="1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F281C" w:rsidRPr="007348AA" w:rsidRDefault="006F281C">
            <w:pPr>
              <w:spacing w:line="259" w:lineRule="auto"/>
              <w:ind w:left="648" w:hanging="115"/>
              <w:jc w:val="both"/>
              <w:rPr>
                <w:sz w:val="24"/>
                <w:szCs w:val="24"/>
              </w:rPr>
            </w:pPr>
          </w:p>
        </w:tc>
      </w:tr>
    </w:tbl>
    <w:p w:rsidR="00801A6B" w:rsidRDefault="00801A6B" w:rsidP="00813F4F">
      <w:pPr>
        <w:spacing w:after="3" w:line="259" w:lineRule="auto"/>
        <w:ind w:left="10" w:right="149"/>
        <w:jc w:val="right"/>
      </w:pPr>
    </w:p>
    <w:p w:rsidR="00801A6B" w:rsidRPr="00801A6B" w:rsidRDefault="00801A6B" w:rsidP="00801A6B"/>
    <w:p w:rsidR="00801A6B" w:rsidRPr="00801A6B" w:rsidRDefault="00801A6B" w:rsidP="00801A6B"/>
    <w:p w:rsidR="00801A6B" w:rsidRPr="00801A6B" w:rsidRDefault="00801A6B" w:rsidP="00801A6B"/>
    <w:p w:rsidR="00BD491F" w:rsidRPr="00801A6B" w:rsidRDefault="00BD491F" w:rsidP="00801A6B"/>
    <w:sectPr w:rsidR="00BD491F" w:rsidRPr="00801A6B">
      <w:pgSz w:w="11904" w:h="16834"/>
      <w:pgMar w:top="1358" w:right="1656" w:bottom="1388" w:left="15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32" w:rsidRDefault="00D22532" w:rsidP="006B2692">
      <w:pPr>
        <w:spacing w:line="240" w:lineRule="auto"/>
      </w:pPr>
      <w:r>
        <w:separator/>
      </w:r>
    </w:p>
  </w:endnote>
  <w:endnote w:type="continuationSeparator" w:id="0">
    <w:p w:rsidR="00D22532" w:rsidRDefault="00D22532" w:rsidP="006B2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32" w:rsidRDefault="00D22532" w:rsidP="006B2692">
      <w:pPr>
        <w:spacing w:line="240" w:lineRule="auto"/>
      </w:pPr>
      <w:r>
        <w:separator/>
      </w:r>
    </w:p>
  </w:footnote>
  <w:footnote w:type="continuationSeparator" w:id="0">
    <w:p w:rsidR="00D22532" w:rsidRDefault="00D22532" w:rsidP="006B26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831BC"/>
    <w:multiLevelType w:val="hybridMultilevel"/>
    <w:tmpl w:val="B0100BFE"/>
    <w:lvl w:ilvl="0" w:tplc="256609A0">
      <w:start w:val="3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6FAC68DE"/>
    <w:multiLevelType w:val="hybridMultilevel"/>
    <w:tmpl w:val="20E8A85E"/>
    <w:lvl w:ilvl="0" w:tplc="DBE8DF7C">
      <w:start w:val="1"/>
      <w:numFmt w:val="aiueoFullWidth"/>
      <w:lvlText w:val="%1)"/>
      <w:lvlJc w:val="left"/>
      <w:pPr>
        <w:ind w:left="6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71837FC6"/>
    <w:multiLevelType w:val="hybridMultilevel"/>
    <w:tmpl w:val="EDAEC390"/>
    <w:lvl w:ilvl="0" w:tplc="62DAAC70">
      <w:start w:val="1"/>
      <w:numFmt w:val="aiueo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1C"/>
    <w:rsid w:val="00103FDB"/>
    <w:rsid w:val="00442EB4"/>
    <w:rsid w:val="00506244"/>
    <w:rsid w:val="005F232A"/>
    <w:rsid w:val="006B2692"/>
    <w:rsid w:val="006F281C"/>
    <w:rsid w:val="007348AA"/>
    <w:rsid w:val="00736493"/>
    <w:rsid w:val="00801A6B"/>
    <w:rsid w:val="00813F4F"/>
    <w:rsid w:val="00A75255"/>
    <w:rsid w:val="00AD0CB7"/>
    <w:rsid w:val="00B0032B"/>
    <w:rsid w:val="00B5620D"/>
    <w:rsid w:val="00BD491F"/>
    <w:rsid w:val="00D22532"/>
    <w:rsid w:val="00F6332D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2ADCF"/>
  <w15:docId w15:val="{D9DD848A-9338-4990-B675-66AD99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65" w:lineRule="auto"/>
      <w:ind w:left="212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48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2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692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B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692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2020-05-21T06:05:00Z</cp:lastPrinted>
  <dcterms:created xsi:type="dcterms:W3CDTF">2020-05-09T13:16:00Z</dcterms:created>
  <dcterms:modified xsi:type="dcterms:W3CDTF">2020-05-25T01:25:00Z</dcterms:modified>
</cp:coreProperties>
</file>